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15" w:rsidRDefault="00522015" w:rsidP="00522015">
      <w:pPr>
        <w:pStyle w:val="Default"/>
        <w:jc w:val="center"/>
      </w:pPr>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7"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8"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gekomen in overleg met de Consumentenbond in het kader van de Coördinatiegroep Zelfreguleringsoverleg (CZ) van de Sociaal-Economische Raad</w:t>
      </w:r>
      <w:r w:rsidRPr="00A80FEE">
        <w:rPr>
          <w:rFonts w:ascii="Arial" w:hAnsi="Arial" w:cs="Arial"/>
          <w:sz w:val="20"/>
          <w:szCs w:val="20"/>
        </w:rPr>
        <w:t xml:space="preserve"> en treden in werking per 1 juni 2014.</w:t>
      </w:r>
    </w:p>
    <w:p w:rsidR="00836023" w:rsidRDefault="00836023" w:rsidP="00836023">
      <w:pPr>
        <w:pStyle w:val="Normaalweb"/>
        <w:spacing w:before="0" w:beforeAutospacing="0" w:after="0" w:afterAutospacing="0"/>
        <w:jc w:val="both"/>
        <w:rPr>
          <w:rFonts w:ascii="Arial" w:hAnsi="Arial" w:cs="Arial"/>
          <w:sz w:val="20"/>
          <w:szCs w:val="20"/>
        </w:rPr>
      </w:pPr>
    </w:p>
    <w:p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b/>
          <w:sz w:val="20"/>
          <w:szCs w:val="20"/>
        </w:rPr>
      </w:pPr>
    </w:p>
    <w:p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lastRenderedPageBreak/>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Default="00BA2783" w:rsidP="00836023">
      <w:pPr>
        <w:jc w:val="both"/>
        <w:rPr>
          <w:rFonts w:ascii="Arial" w:hAnsi="Arial" w:cs="Arial"/>
          <w:sz w:val="20"/>
          <w:szCs w:val="20"/>
        </w:rPr>
      </w:pPr>
    </w:p>
    <w:p w:rsidR="00BA2783" w:rsidRPr="00A80FEE" w:rsidRDefault="00BA2783" w:rsidP="00836023">
      <w:pPr>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836023" w:rsidRPr="00A80FEE" w:rsidRDefault="00F317D8" w:rsidP="00836023">
      <w:pPr>
        <w:pStyle w:val="Normaalweb"/>
        <w:spacing w:before="0" w:beforeAutospacing="0" w:after="0" w:afterAutospacing="0"/>
        <w:jc w:val="both"/>
        <w:rPr>
          <w:rFonts w:ascii="Arial" w:hAnsi="Arial" w:cs="Arial"/>
          <w:sz w:val="20"/>
          <w:szCs w:val="20"/>
        </w:rPr>
      </w:pPr>
      <w:r>
        <w:rPr>
          <w:rStyle w:val="Zwaar"/>
          <w:rFonts w:ascii="Arial" w:hAnsi="Arial" w:cs="Arial"/>
          <w:sz w:val="20"/>
          <w:szCs w:val="20"/>
        </w:rPr>
        <w:t>Remiko, leverend via de website www.bruder-speelgoed.nl</w:t>
      </w:r>
    </w:p>
    <w:p w:rsidR="00836023" w:rsidRPr="00A80FEE" w:rsidRDefault="00F317D8" w:rsidP="00836023">
      <w:pPr>
        <w:autoSpaceDE w:val="0"/>
        <w:autoSpaceDN w:val="0"/>
        <w:adjustRightInd w:val="0"/>
        <w:jc w:val="both"/>
        <w:rPr>
          <w:rFonts w:ascii="Arial" w:hAnsi="Arial" w:cs="Arial"/>
          <w:sz w:val="20"/>
          <w:szCs w:val="20"/>
        </w:rPr>
      </w:pPr>
      <w:r>
        <w:rPr>
          <w:rFonts w:ascii="Arial" w:hAnsi="Arial" w:cs="Arial"/>
          <w:sz w:val="20"/>
          <w:szCs w:val="20"/>
        </w:rPr>
        <w:t>Doormanstraat 43</w:t>
      </w:r>
    </w:p>
    <w:p w:rsidR="00F317D8" w:rsidRDefault="00F317D8" w:rsidP="00836023">
      <w:pPr>
        <w:autoSpaceDE w:val="0"/>
        <w:autoSpaceDN w:val="0"/>
        <w:adjustRightInd w:val="0"/>
        <w:jc w:val="both"/>
        <w:rPr>
          <w:rFonts w:ascii="Arial" w:hAnsi="Arial" w:cs="Arial"/>
          <w:sz w:val="20"/>
          <w:szCs w:val="20"/>
        </w:rPr>
      </w:pPr>
      <w:r>
        <w:rPr>
          <w:rFonts w:ascii="Arial" w:hAnsi="Arial" w:cs="Arial"/>
          <w:sz w:val="20"/>
          <w:szCs w:val="20"/>
        </w:rPr>
        <w:t>0529-456701 (privé nummer, geen helpdesk of sales)</w:t>
      </w:r>
    </w:p>
    <w:p w:rsidR="00836023" w:rsidRPr="00A80FEE" w:rsidRDefault="00F317D8" w:rsidP="00F317D8">
      <w:pPr>
        <w:autoSpaceDE w:val="0"/>
        <w:autoSpaceDN w:val="0"/>
        <w:adjustRightInd w:val="0"/>
        <w:jc w:val="both"/>
        <w:rPr>
          <w:rFonts w:ascii="Arial" w:hAnsi="Arial" w:cs="Arial"/>
          <w:sz w:val="20"/>
          <w:szCs w:val="20"/>
        </w:rPr>
      </w:pPr>
      <w:hyperlink r:id="rId9" w:history="1">
        <w:r w:rsidRPr="00042F5E">
          <w:rPr>
            <w:rStyle w:val="Hyperlink"/>
            <w:rFonts w:ascii="Arial" w:hAnsi="Arial" w:cs="Arial"/>
            <w:sz w:val="20"/>
            <w:szCs w:val="20"/>
          </w:rPr>
          <w:t>info@bruder-speelgoed.nl</w:t>
        </w:r>
      </w:hyperlink>
      <w:r>
        <w:rPr>
          <w:rFonts w:ascii="Arial" w:hAnsi="Arial" w:cs="Arial"/>
          <w:sz w:val="20"/>
          <w:szCs w:val="20"/>
        </w:rPr>
        <w:t xml:space="preserve">, </w:t>
      </w:r>
      <w:hyperlink r:id="rId10" w:history="1">
        <w:r w:rsidRPr="00042F5E">
          <w:rPr>
            <w:rStyle w:val="Hyperlink"/>
            <w:rFonts w:ascii="Arial" w:hAnsi="Arial" w:cs="Arial"/>
            <w:sz w:val="20"/>
            <w:szCs w:val="20"/>
          </w:rPr>
          <w:t>info@remiko.nl</w:t>
        </w:r>
      </w:hyperlink>
      <w:r>
        <w:rPr>
          <w:rFonts w:ascii="Arial" w:hAnsi="Arial" w:cs="Arial"/>
          <w:sz w:val="20"/>
          <w:szCs w:val="20"/>
        </w:rPr>
        <w:t xml:space="preserve"> en via </w:t>
      </w:r>
      <w:hyperlink r:id="rId11" w:history="1">
        <w:r w:rsidRPr="00042F5E">
          <w:rPr>
            <w:rStyle w:val="Hyperlink"/>
            <w:rFonts w:ascii="Arial" w:hAnsi="Arial" w:cs="Arial"/>
            <w:sz w:val="20"/>
            <w:szCs w:val="20"/>
          </w:rPr>
          <w:t>www.bruder-speelgoed.nl/contact.php</w:t>
        </w:r>
      </w:hyperlink>
      <w:r>
        <w:rPr>
          <w:rFonts w:ascii="Arial" w:hAnsi="Arial" w:cs="Arial"/>
          <w:sz w:val="20"/>
          <w:szCs w:val="20"/>
        </w:rPr>
        <w:t xml:space="preserve"> </w:t>
      </w:r>
      <w:r w:rsidR="00836023" w:rsidRPr="00A80FEE">
        <w:rPr>
          <w:rFonts w:ascii="Arial" w:hAnsi="Arial" w:cs="Arial"/>
          <w:sz w:val="20"/>
          <w:szCs w:val="20"/>
        </w:rPr>
        <w:t xml:space="preserve"> </w:t>
      </w: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KvK-nummer</w:t>
      </w:r>
      <w:r w:rsidR="00F317D8">
        <w:rPr>
          <w:rFonts w:ascii="Arial" w:hAnsi="Arial" w:cs="Arial"/>
          <w:sz w:val="20"/>
          <w:szCs w:val="20"/>
        </w:rPr>
        <w:t>: 69594570</w:t>
      </w:r>
    </w:p>
    <w:p w:rsidR="00836023" w:rsidRPr="00A80FEE" w:rsidRDefault="00836023" w:rsidP="00F317D8">
      <w:pPr>
        <w:autoSpaceDE w:val="0"/>
        <w:autoSpaceDN w:val="0"/>
        <w:adjustRightInd w:val="0"/>
        <w:jc w:val="both"/>
        <w:rPr>
          <w:rFonts w:ascii="Arial" w:hAnsi="Arial" w:cs="Arial"/>
          <w:sz w:val="20"/>
          <w:szCs w:val="20"/>
        </w:rPr>
      </w:pPr>
      <w:r w:rsidRPr="00A80FEE">
        <w:rPr>
          <w:rFonts w:ascii="Arial" w:hAnsi="Arial" w:cs="Arial"/>
          <w:sz w:val="20"/>
          <w:szCs w:val="20"/>
        </w:rPr>
        <w:t>BTW-identificatienummer</w:t>
      </w:r>
      <w:r w:rsidR="00F317D8">
        <w:rPr>
          <w:rFonts w:ascii="Arial" w:hAnsi="Arial" w:cs="Arial"/>
          <w:sz w:val="20"/>
          <w:szCs w:val="20"/>
        </w:rPr>
        <w:t>: NL857932391B01</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lastRenderedPageBreak/>
        <w:t>De overeenkomst komt, onder voorbehoud van het bepaalde in lid 4, tot stand op het moment van aanvaarding door de consument van het aanbod en het voldoen aan de daarbij gestelde voorwaarden.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836023">
      <w:pPr>
        <w:ind w:left="36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836023">
      <w:pPr>
        <w:contextualSpacing/>
        <w:jc w:val="both"/>
        <w:rPr>
          <w:rFonts w:ascii="Arial" w:hAnsi="Arial" w:cs="Arial"/>
          <w:sz w:val="20"/>
          <w:szCs w:val="20"/>
        </w:rPr>
      </w:pPr>
    </w:p>
    <w:p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lastRenderedPageBreak/>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836023">
      <w:pPr>
        <w:autoSpaceDE w:val="0"/>
        <w:autoSpaceDN w:val="0"/>
        <w:adjustRightInd w:val="0"/>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lastRenderedPageBreak/>
        <w:t>tenminste opzeggen op dezelfde wijze als zij door hem zijn aangegaan;</w:t>
      </w:r>
    </w:p>
    <w:p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 xml:space="preserve">Stichting </w:t>
      </w:r>
      <w:r>
        <w:rPr>
          <w:rFonts w:ascii="Arial" w:hAnsi="Arial" w:cs="Arial"/>
          <w:sz w:val="20"/>
          <w:szCs w:val="20"/>
        </w:rPr>
        <w:lastRenderedPageBreak/>
        <w:t>Webshop Keurmerk</w:t>
      </w:r>
      <w:r w:rsidRPr="00F93D7B">
        <w:t xml:space="preserve"> </w:t>
      </w:r>
      <w:r>
        <w:t>(</w:t>
      </w:r>
      <w:hyperlink r:id="rId12"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r>
        <w:rPr>
          <w:rFonts w:ascii="Arial" w:hAnsi="Arial" w:cs="Arial"/>
          <w:sz w:val="20"/>
          <w:szCs w:val="20"/>
        </w:rPr>
        <w:t>Webshop</w:t>
      </w:r>
      <w:r w:rsidRPr="00A80FEE">
        <w:rPr>
          <w:rFonts w:ascii="Arial" w:hAnsi="Arial" w:cs="Arial"/>
          <w:sz w:val="20"/>
          <w:szCs w:val="20"/>
        </w:rPr>
        <w:t>, Postbus 90600, 2509 LP te Den Haag (</w:t>
      </w:r>
      <w:hyperlink r:id="rId13" w:history="1">
        <w:r w:rsidRPr="00A80FEE">
          <w:rPr>
            <w:rStyle w:val="Hyperlink"/>
            <w:rFonts w:ascii="Arial" w:hAnsi="Arial" w:cs="Arial"/>
            <w:sz w:val="20"/>
            <w:szCs w:val="20"/>
          </w:rPr>
          <w:t>www.sgc.nl</w:t>
        </w:r>
      </w:hyperlink>
      <w:r w:rsidRPr="00A80FEE">
        <w:rPr>
          <w:rFonts w:ascii="Arial" w:hAnsi="Arial" w:cs="Arial"/>
          <w:sz w:val="20"/>
          <w:szCs w:val="20"/>
        </w:rPr>
        <w:t>).</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Uiterlijk </w:t>
      </w:r>
      <w:r w:rsidR="0081070D">
        <w:rPr>
          <w:rFonts w:ascii="Arial" w:hAnsi="Arial" w:cs="Arial"/>
          <w:sz w:val="20"/>
          <w:szCs w:val="20"/>
        </w:rPr>
        <w:t>twaalf</w:t>
      </w:r>
      <w:r w:rsidRPr="00A80FEE">
        <w:rPr>
          <w:rFonts w:ascii="Arial" w:hAnsi="Arial" w:cs="Arial"/>
          <w:sz w:val="20"/>
          <w:szCs w:val="20"/>
        </w:rPr>
        <w:t xml:space="preserve"> maanden nadat het geschil is ontstaan dient het geschil schriftelijk bij de Geschillencommissie aanhangig te worden gemaakt.</w:t>
      </w:r>
    </w:p>
    <w:p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4"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r>
        <w:rPr>
          <w:rFonts w:ascii="Arial" w:hAnsi="Arial" w:cs="Arial"/>
          <w:sz w:val="20"/>
          <w:szCs w:val="20"/>
        </w:rPr>
        <w:t>Webshop</w:t>
      </w:r>
      <w:r w:rsidRPr="00A80FEE">
        <w:rPr>
          <w:rFonts w:ascii="Arial" w:hAnsi="Arial" w:cs="Arial"/>
          <w:sz w:val="20"/>
          <w:szCs w:val="20"/>
        </w:rPr>
        <w:t xml:space="preserve">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w:t>
      </w:r>
      <w:r>
        <w:rPr>
          <w:rFonts w:ascii="Arial" w:hAnsi="Arial" w:cs="Arial"/>
          <w:sz w:val="20"/>
          <w:szCs w:val="20"/>
        </w:rPr>
        <w:t>Stichting Webshop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Kifid aangesloten geschillencommissie.</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Stichting Webshop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Stichting Webshop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Stichting Webshop Keurmerk</w:t>
      </w:r>
      <w:r w:rsidRPr="00A80FEE">
        <w:rPr>
          <w:rFonts w:ascii="Arial" w:hAnsi="Arial" w:cs="Arial"/>
          <w:sz w:val="20"/>
          <w:szCs w:val="20"/>
        </w:rPr>
        <w:t xml:space="preserve"> een inspanningsverplichting om ervoor te zorgen dat het lid het bindend advies nakomt.</w:t>
      </w:r>
    </w:p>
    <w:p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Stichting Webshop Keurmerk</w:t>
      </w:r>
      <w:r w:rsidRPr="00A80FEE">
        <w:rPr>
          <w:rFonts w:ascii="Arial" w:hAnsi="Arial" w:cs="Arial"/>
          <w:sz w:val="20"/>
          <w:szCs w:val="20"/>
        </w:rPr>
        <w:t xml:space="preserve"> en dat hij zijn vordering op de ondernemer overdraagt aan </w:t>
      </w:r>
      <w:r>
        <w:rPr>
          <w:rFonts w:ascii="Arial" w:hAnsi="Arial" w:cs="Arial"/>
          <w:sz w:val="20"/>
          <w:szCs w:val="20"/>
        </w:rPr>
        <w:t>Stichting Webshop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Stichting Webshop Keurmerk</w:t>
      </w:r>
      <w:r w:rsidRPr="00A80FEE">
        <w:rPr>
          <w:rFonts w:ascii="Arial" w:hAnsi="Arial" w:cs="Arial"/>
          <w:sz w:val="20"/>
          <w:szCs w:val="20"/>
        </w:rPr>
        <w:t>, waarna deze organisatie op eigen naam en kosten de betaling daarvan in rechte zal vragen ter voldoening aan de consument.</w:t>
      </w: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Aanvullende dan wel van deze algemene voorwaarden afwijkende bepalingen mogen niet ten nadele van de consument zijn en dienen schriftelijk te worden vastgelegd dan wel op zodanige wijze dat deze </w:t>
      </w:r>
      <w:r w:rsidRPr="00A80FEE">
        <w:rPr>
          <w:rFonts w:ascii="Arial" w:hAnsi="Arial" w:cs="Arial"/>
          <w:sz w:val="20"/>
          <w:szCs w:val="20"/>
        </w:rPr>
        <w:lastRenderedPageBreak/>
        <w:t>door de consument op een toegankelijke manier kunnen worden opgeslagen op een duurzame gegevensdrager.</w:t>
      </w: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Stichting Webshop Keurmerk</w:t>
      </w:r>
    </w:p>
    <w:p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836023">
      <w:pPr>
        <w:jc w:val="both"/>
        <w:rPr>
          <w:rStyle w:val="Zwaar"/>
          <w:rFonts w:ascii="Arial" w:hAnsi="Arial" w:cs="Arial"/>
          <w:b w:val="0"/>
          <w:sz w:val="20"/>
          <w:szCs w:val="20"/>
        </w:rPr>
      </w:pPr>
    </w:p>
    <w:p w:rsidR="00836023" w:rsidRDefault="00836023" w:rsidP="00836023">
      <w:pPr>
        <w:pStyle w:val="Default"/>
        <w:rPr>
          <w:rFonts w:cs="Times New Roman"/>
          <w:color w:val="auto"/>
          <w:sz w:val="20"/>
          <w:szCs w:val="20"/>
        </w:rPr>
      </w:pPr>
    </w:p>
    <w:p w:rsidR="00836023" w:rsidRDefault="00836023" w:rsidP="00836023">
      <w:pPr>
        <w:rPr>
          <w:rFonts w:ascii="Verdana" w:hAnsi="Verdana"/>
          <w:b/>
          <w:bCs/>
          <w:sz w:val="20"/>
          <w:szCs w:val="20"/>
        </w:rPr>
      </w:pPr>
      <w:r>
        <w:rPr>
          <w:rFonts w:ascii="Verdana" w:hAnsi="Verdana"/>
          <w:b/>
          <w:bCs/>
          <w:sz w:val="20"/>
          <w:szCs w:val="20"/>
        </w:rPr>
        <w:t xml:space="preserve">Adres Stichting Webshop Keurmerk: </w:t>
      </w:r>
    </w:p>
    <w:p w:rsidR="00836023" w:rsidRDefault="00836023" w:rsidP="00836023">
      <w:pPr>
        <w:rPr>
          <w:rFonts w:ascii="Verdana" w:hAnsi="Verdana"/>
          <w:b/>
          <w:bCs/>
          <w:sz w:val="20"/>
          <w:szCs w:val="20"/>
        </w:rPr>
      </w:pPr>
      <w:r>
        <w:rPr>
          <w:rFonts w:ascii="Verdana" w:hAnsi="Verdana"/>
          <w:b/>
          <w:bCs/>
          <w:sz w:val="20"/>
          <w:szCs w:val="20"/>
        </w:rPr>
        <w:t>Willemsparkweg 193, 1071 HA  Amsterdam</w:t>
      </w:r>
    </w:p>
    <w:p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rsidR="00F317D8" w:rsidRPr="00F317D8" w:rsidRDefault="00836023" w:rsidP="00F317D8">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r>
      <w:r w:rsidR="00F317D8">
        <w:rPr>
          <w:rStyle w:val="Zwaar"/>
          <w:rFonts w:ascii="Arial" w:hAnsi="Arial" w:cs="Arial"/>
          <w:sz w:val="20"/>
          <w:szCs w:val="20"/>
        </w:rPr>
        <w:t>Bruder-speelgoed.nl</w:t>
      </w:r>
    </w:p>
    <w:p w:rsidR="00836023" w:rsidRPr="00A80FEE" w:rsidRDefault="00F317D8" w:rsidP="00836023">
      <w:pPr>
        <w:pStyle w:val="Normaalweb"/>
        <w:ind w:left="1416"/>
        <w:jc w:val="both"/>
        <w:rPr>
          <w:rStyle w:val="Zwaar"/>
          <w:rFonts w:ascii="Arial" w:hAnsi="Arial" w:cs="Arial"/>
          <w:b w:val="0"/>
          <w:bCs w:val="0"/>
          <w:sz w:val="20"/>
          <w:szCs w:val="20"/>
        </w:rPr>
      </w:pPr>
      <w:r>
        <w:rPr>
          <w:rStyle w:val="Zwaar"/>
          <w:rFonts w:ascii="Arial" w:hAnsi="Arial" w:cs="Arial"/>
          <w:sz w:val="20"/>
          <w:szCs w:val="20"/>
        </w:rPr>
        <w:t>Doormanstraat 43, 7731BP Ommen, Nederland</w:t>
      </w:r>
    </w:p>
    <w:p w:rsidR="00836023" w:rsidRPr="00A80FEE" w:rsidRDefault="00F317D8" w:rsidP="00836023">
      <w:pPr>
        <w:pStyle w:val="Normaalweb"/>
        <w:ind w:left="1416"/>
        <w:jc w:val="both"/>
        <w:rPr>
          <w:rStyle w:val="Zwaar"/>
          <w:rFonts w:ascii="Arial" w:hAnsi="Arial" w:cs="Arial"/>
          <w:b w:val="0"/>
          <w:bCs w:val="0"/>
          <w:sz w:val="20"/>
          <w:szCs w:val="20"/>
        </w:rPr>
      </w:pPr>
      <w:r>
        <w:rPr>
          <w:rStyle w:val="Zwaar"/>
          <w:rFonts w:ascii="Arial" w:hAnsi="Arial" w:cs="Arial"/>
          <w:sz w:val="20"/>
          <w:szCs w:val="20"/>
        </w:rPr>
        <w:t>info@bruder-speelgoed.nl</w:t>
      </w:r>
      <w:bookmarkStart w:id="0" w:name="_GoBack"/>
      <w:bookmarkEnd w:id="0"/>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rsidR="00836023" w:rsidRPr="00A80FEE" w:rsidRDefault="00836023" w:rsidP="00836023">
      <w:pPr>
        <w:pStyle w:val="Normaalweb"/>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rsidR="00836023" w:rsidRPr="00A80FEE" w:rsidRDefault="00836023" w:rsidP="00836023">
      <w:pPr>
        <w:pStyle w:val="Normaalweb"/>
        <w:spacing w:before="0" w:beforeAutospacing="0" w:after="0" w:afterAutospacing="0"/>
        <w:ind w:left="360"/>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rsidR="00836023" w:rsidRPr="00A80FEE" w:rsidRDefault="00836023" w:rsidP="00836023">
      <w:pPr>
        <w:pStyle w:val="Lijstalinea"/>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Style w:val="Zwaar"/>
          <w:rFonts w:ascii="Arial" w:hAnsi="Arial" w:cs="Arial"/>
          <w:b w:val="0"/>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836023" w:rsidRPr="00A80FEE" w:rsidRDefault="00836023" w:rsidP="00836023">
      <w:pPr>
        <w:jc w:val="both"/>
        <w:rPr>
          <w:rFonts w:ascii="Arial" w:hAnsi="Arial" w:cs="Arial"/>
          <w:sz w:val="20"/>
          <w:szCs w:val="20"/>
        </w:rPr>
      </w:pPr>
    </w:p>
    <w:p w:rsidR="003E2AA1" w:rsidRPr="00522015" w:rsidRDefault="003E2AA1" w:rsidP="00522015">
      <w:pPr>
        <w:rPr>
          <w:rFonts w:ascii="Verdana" w:hAnsi="Verdana"/>
          <w:sz w:val="20"/>
          <w:szCs w:val="20"/>
        </w:rPr>
      </w:pPr>
    </w:p>
    <w:sectPr w:rsidR="003E2AA1" w:rsidRPr="00522015" w:rsidSect="004712ED">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DB8" w:rsidRDefault="00685DB8">
      <w:r>
        <w:separator/>
      </w:r>
    </w:p>
  </w:endnote>
  <w:endnote w:type="continuationSeparator" w:id="0">
    <w:p w:rsidR="00685DB8" w:rsidRDefault="006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F317D8">
      <w:rPr>
        <w:rStyle w:val="Paginanummer"/>
        <w:noProof/>
      </w:rPr>
      <w:t>11</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DB8" w:rsidRDefault="00685DB8">
      <w:r>
        <w:separator/>
      </w:r>
    </w:p>
  </w:footnote>
  <w:footnote w:type="continuationSeparator" w:id="0">
    <w:p w:rsidR="00685DB8" w:rsidRDefault="00685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15:restartNumberingAfterBreak="0">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15:restartNumberingAfterBreak="0">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15:restartNumberingAfterBreak="0">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15:restartNumberingAfterBreak="0">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15"/>
    <w:rsid w:val="00031800"/>
    <w:rsid w:val="000400BB"/>
    <w:rsid w:val="0006007F"/>
    <w:rsid w:val="00067AF4"/>
    <w:rsid w:val="000800EF"/>
    <w:rsid w:val="0008362A"/>
    <w:rsid w:val="000857EC"/>
    <w:rsid w:val="00194994"/>
    <w:rsid w:val="001B1AAE"/>
    <w:rsid w:val="001E5B3D"/>
    <w:rsid w:val="0020019A"/>
    <w:rsid w:val="00290910"/>
    <w:rsid w:val="0029416B"/>
    <w:rsid w:val="002E4D7A"/>
    <w:rsid w:val="002F3A61"/>
    <w:rsid w:val="00374116"/>
    <w:rsid w:val="00381D0D"/>
    <w:rsid w:val="0038447C"/>
    <w:rsid w:val="003E2AA1"/>
    <w:rsid w:val="003E5B58"/>
    <w:rsid w:val="004235A3"/>
    <w:rsid w:val="00430106"/>
    <w:rsid w:val="00466338"/>
    <w:rsid w:val="004712ED"/>
    <w:rsid w:val="004F1838"/>
    <w:rsid w:val="00511B1C"/>
    <w:rsid w:val="00522015"/>
    <w:rsid w:val="005658EB"/>
    <w:rsid w:val="00590FB2"/>
    <w:rsid w:val="005A0AFD"/>
    <w:rsid w:val="005C27F3"/>
    <w:rsid w:val="005C512E"/>
    <w:rsid w:val="005E23DA"/>
    <w:rsid w:val="005F0CF9"/>
    <w:rsid w:val="006148BC"/>
    <w:rsid w:val="00635851"/>
    <w:rsid w:val="00685DB8"/>
    <w:rsid w:val="006926AC"/>
    <w:rsid w:val="006A76DC"/>
    <w:rsid w:val="00700F9F"/>
    <w:rsid w:val="00714F8F"/>
    <w:rsid w:val="00735AFB"/>
    <w:rsid w:val="0074081C"/>
    <w:rsid w:val="00746DBD"/>
    <w:rsid w:val="0075019D"/>
    <w:rsid w:val="007A3EB6"/>
    <w:rsid w:val="007A74B9"/>
    <w:rsid w:val="007C54F3"/>
    <w:rsid w:val="0081070D"/>
    <w:rsid w:val="00836023"/>
    <w:rsid w:val="00872BDF"/>
    <w:rsid w:val="0087400F"/>
    <w:rsid w:val="008D1ADA"/>
    <w:rsid w:val="008D3024"/>
    <w:rsid w:val="008D4613"/>
    <w:rsid w:val="008E2651"/>
    <w:rsid w:val="008F44CE"/>
    <w:rsid w:val="0092449A"/>
    <w:rsid w:val="00937D5F"/>
    <w:rsid w:val="00946078"/>
    <w:rsid w:val="00955E97"/>
    <w:rsid w:val="00983876"/>
    <w:rsid w:val="00995981"/>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D70F6"/>
    <w:rsid w:val="00BE0141"/>
    <w:rsid w:val="00C052FE"/>
    <w:rsid w:val="00C06B28"/>
    <w:rsid w:val="00C2768E"/>
    <w:rsid w:val="00C5037D"/>
    <w:rsid w:val="00CF0AF1"/>
    <w:rsid w:val="00D20944"/>
    <w:rsid w:val="00D34765"/>
    <w:rsid w:val="00D5148D"/>
    <w:rsid w:val="00DD7DC9"/>
    <w:rsid w:val="00DF2317"/>
    <w:rsid w:val="00E01679"/>
    <w:rsid w:val="00E0475A"/>
    <w:rsid w:val="00E11628"/>
    <w:rsid w:val="00E207E6"/>
    <w:rsid w:val="00E367F0"/>
    <w:rsid w:val="00E83559"/>
    <w:rsid w:val="00EF1552"/>
    <w:rsid w:val="00F317D8"/>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09FA834"/>
  <w15:docId w15:val="{EFE95C6D-9B85-46B1-83A4-BABC8AD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paragraph" w:styleId="Koptekst">
    <w:name w:val="header"/>
    <w:basedOn w:val="Standaard"/>
    <w:link w:val="KoptekstChar"/>
    <w:unhideWhenUsed/>
    <w:rsid w:val="0081070D"/>
    <w:pPr>
      <w:tabs>
        <w:tab w:val="center" w:pos="4536"/>
        <w:tab w:val="right" w:pos="9072"/>
      </w:tabs>
    </w:pPr>
  </w:style>
  <w:style w:type="character" w:customStyle="1" w:styleId="KoptekstChar">
    <w:name w:val="Koptekst Char"/>
    <w:basedOn w:val="Standaardalinea-lettertype"/>
    <w:link w:val="Koptekst"/>
    <w:rsid w:val="0081070D"/>
    <w:rPr>
      <w:sz w:val="24"/>
      <w:szCs w:val="24"/>
    </w:rPr>
  </w:style>
  <w:style w:type="character" w:styleId="Onopgelostemelding">
    <w:name w:val="Unresolved Mention"/>
    <w:basedOn w:val="Standaardalinea-lettertype"/>
    <w:uiPriority w:val="99"/>
    <w:semiHidden/>
    <w:unhideWhenUsed/>
    <w:rsid w:val="00F317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gc.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eurmerk.info/Home/MisbruikOfKlach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uder-speelgoed.nl/contact.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remiko.nl" TargetMode="External"/><Relationship Id="rId4" Type="http://schemas.openxmlformats.org/officeDocument/2006/relationships/webSettings" Target="webSettings.xml"/><Relationship Id="rId9" Type="http://schemas.openxmlformats.org/officeDocument/2006/relationships/hyperlink" Target="mailto:info@bruder-speelgoed.nl" TargetMode="External"/><Relationship Id="rId14" Type="http://schemas.openxmlformats.org/officeDocument/2006/relationships/hyperlink" Target="http://www.degeschillencommissie.nl/over-ons/de-commissies/2701/websho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5363</Words>
  <Characters>29502</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Michael Koot</cp:lastModifiedBy>
  <cp:revision>2</cp:revision>
  <cp:lastPrinted>2012-06-21T09:21:00Z</cp:lastPrinted>
  <dcterms:created xsi:type="dcterms:W3CDTF">2018-01-19T12:18:00Z</dcterms:created>
  <dcterms:modified xsi:type="dcterms:W3CDTF">2018-01-19T12:18:00Z</dcterms:modified>
</cp:coreProperties>
</file>